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0921C2C" w14:textId="77777777" w:rsidR="007476C7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</w:t>
      </w:r>
    </w:p>
    <w:p w14:paraId="174AECF2" w14:textId="77777777" w:rsidR="007476C7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IČO: 013 12 774, </w:t>
      </w:r>
    </w:p>
    <w:p w14:paraId="6F373BDA" w14:textId="606CA91D" w:rsidR="007476C7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Krajský pozemkový úřad pro </w:t>
      </w:r>
      <w:r w:rsidR="007476C7">
        <w:rPr>
          <w:rFonts w:ascii="Arial" w:hAnsi="Arial" w:cs="Arial"/>
          <w:sz w:val="22"/>
          <w:szCs w:val="22"/>
        </w:rPr>
        <w:t>Pardubická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7476C7">
        <w:rPr>
          <w:rFonts w:ascii="Arial" w:hAnsi="Arial" w:cs="Arial"/>
          <w:sz w:val="22"/>
          <w:szCs w:val="22"/>
        </w:rPr>
        <w:t>Ústí nad Orlicí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</w:t>
      </w:r>
    </w:p>
    <w:p w14:paraId="56192964" w14:textId="04407F8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 adrese </w:t>
      </w:r>
      <w:r w:rsidR="007476C7">
        <w:rPr>
          <w:rFonts w:ascii="Arial" w:hAnsi="Arial" w:cs="Arial"/>
          <w:snapToGrid w:val="0"/>
          <w:sz w:val="22"/>
          <w:szCs w:val="22"/>
        </w:rPr>
        <w:t>Tvardkova 1191, 562 01 Ústí nad Orlicí</w:t>
      </w:r>
    </w:p>
    <w:p w14:paraId="1E55C822" w14:textId="4EB164A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7476C7">
        <w:rPr>
          <w:rFonts w:ascii="Arial" w:hAnsi="Arial" w:cs="Arial"/>
          <w:sz w:val="22"/>
          <w:szCs w:val="22"/>
        </w:rPr>
        <w:t>Ing. Renatou Čadovou, vedoucí Pobočky Ústí nad Orlicí</w:t>
      </w:r>
    </w:p>
    <w:p w14:paraId="5BEB8762" w14:textId="066E96F0" w:rsidR="00797092" w:rsidRPr="00014665" w:rsidRDefault="00797092" w:rsidP="00351863">
      <w:pPr>
        <w:ind w:left="4536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7476C7">
        <w:rPr>
          <w:rFonts w:ascii="Arial" w:hAnsi="Arial" w:cs="Arial"/>
          <w:sz w:val="22"/>
          <w:szCs w:val="22"/>
        </w:rPr>
        <w:t>Ing. Renata Čadová, vedoucí Pobočky Ústí nad Orlicí</w:t>
      </w:r>
    </w:p>
    <w:p w14:paraId="75B59BEE" w14:textId="2D3541D6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="007476C7">
        <w:rPr>
          <w:rFonts w:ascii="Arial" w:hAnsi="Arial" w:cs="Arial"/>
          <w:sz w:val="22"/>
          <w:szCs w:val="22"/>
        </w:rPr>
        <w:t>: Ing. Regina Filipová, Pobočka Ústí nad Orlicí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1409E9D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351863">
        <w:rPr>
          <w:rFonts w:ascii="Arial" w:hAnsi="Arial" w:cs="Arial"/>
          <w:sz w:val="22"/>
          <w:szCs w:val="22"/>
        </w:rPr>
        <w:t xml:space="preserve">+420 </w:t>
      </w:r>
      <w:r w:rsidR="007476C7">
        <w:rPr>
          <w:rFonts w:ascii="Arial" w:hAnsi="Arial" w:cs="Arial"/>
          <w:snapToGrid w:val="0"/>
          <w:sz w:val="22"/>
          <w:szCs w:val="22"/>
        </w:rPr>
        <w:t>725 002 578</w:t>
      </w:r>
    </w:p>
    <w:p w14:paraId="6DA97DD3" w14:textId="73F54D7F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7476C7" w:rsidRPr="0093461F">
          <w:rPr>
            <w:rStyle w:val="Hypertextovodkaz"/>
            <w:rFonts w:ascii="Arial" w:hAnsi="Arial" w:cs="Arial"/>
            <w:snapToGrid w:val="0"/>
            <w:sz w:val="22"/>
            <w:szCs w:val="22"/>
          </w:rPr>
          <w:t>ustino.pk@spucr.cz</w:t>
        </w:r>
      </w:hyperlink>
      <w:r w:rsidR="007476C7">
        <w:rPr>
          <w:rFonts w:ascii="Arial" w:hAnsi="Arial" w:cs="Arial"/>
          <w:snapToGrid w:val="0"/>
          <w:sz w:val="22"/>
          <w:szCs w:val="22"/>
        </w:rPr>
        <w:t xml:space="preserve">, </w:t>
      </w:r>
      <w:hyperlink r:id="rId14" w:history="1">
        <w:r w:rsidR="007476C7" w:rsidRPr="0093461F">
          <w:rPr>
            <w:rStyle w:val="Hypertextovodkaz"/>
            <w:rFonts w:ascii="Arial" w:hAnsi="Arial" w:cs="Arial"/>
            <w:snapToGrid w:val="0"/>
            <w:sz w:val="22"/>
            <w:szCs w:val="22"/>
          </w:rPr>
          <w:t>r.filipova@spucr.cz</w:t>
        </w:r>
      </w:hyperlink>
      <w:r w:rsidR="007476C7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FBCA964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</w:t>
      </w:r>
      <w:r w:rsidR="007476C7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5EE62E3F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="007476C7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35186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453FCDB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C530383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351863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</w:t>
      </w:r>
      <w:r w:rsidR="007476C7" w:rsidRPr="00351863">
        <w:rPr>
          <w:rFonts w:ascii="Arial" w:hAnsi="Arial" w:cs="Arial"/>
          <w:b/>
          <w:bCs/>
          <w:snapToGrid w:val="0"/>
          <w:sz w:val="22"/>
          <w:szCs w:val="22"/>
        </w:rPr>
        <w:t>po pozemkových úpravách v okrese Ústí n</w:t>
      </w:r>
      <w:r w:rsidR="00C208E2" w:rsidRPr="00351863">
        <w:rPr>
          <w:rFonts w:ascii="Arial" w:hAnsi="Arial" w:cs="Arial"/>
          <w:b/>
          <w:bCs/>
          <w:snapToGrid w:val="0"/>
          <w:sz w:val="22"/>
          <w:szCs w:val="22"/>
        </w:rPr>
        <w:t>. O.</w:t>
      </w:r>
      <w:r w:rsidR="007476C7" w:rsidRPr="00351863">
        <w:rPr>
          <w:rFonts w:ascii="Arial" w:hAnsi="Arial" w:cs="Arial"/>
          <w:b/>
          <w:bCs/>
          <w:snapToGrid w:val="0"/>
          <w:sz w:val="22"/>
          <w:szCs w:val="22"/>
        </w:rPr>
        <w:t xml:space="preserve"> 2024</w:t>
      </w:r>
      <w:r w:rsidR="007476C7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72DC18E7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351863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351863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A0A6980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7476C7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7476C7">
        <w:rPr>
          <w:rFonts w:ascii="Arial" w:hAnsi="Arial" w:cs="Arial"/>
          <w:sz w:val="22"/>
          <w:szCs w:val="22"/>
        </w:rPr>
        <w:t>Ústí nad Orlicí.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1BA4F97B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F2B691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351863">
        <w:rPr>
          <w:rFonts w:ascii="Arial" w:hAnsi="Arial" w:cs="Arial"/>
          <w:sz w:val="22"/>
          <w:szCs w:val="22"/>
        </w:rPr>
        <w:t>d</w:t>
      </w:r>
      <w:r w:rsidR="0076124F">
        <w:rPr>
          <w:rFonts w:ascii="Arial" w:hAnsi="Arial" w:cs="Arial"/>
          <w:sz w:val="22"/>
          <w:szCs w:val="22"/>
        </w:rPr>
        <w:t>le seznamu uvedeného v přílo</w:t>
      </w:r>
      <w:r w:rsidR="0018132B">
        <w:rPr>
          <w:rFonts w:ascii="Arial" w:hAnsi="Arial" w:cs="Arial"/>
          <w:sz w:val="22"/>
          <w:szCs w:val="22"/>
        </w:rPr>
        <w:t>z</w:t>
      </w:r>
      <w:r w:rsidR="0076124F">
        <w:rPr>
          <w:rFonts w:ascii="Arial" w:hAnsi="Arial" w:cs="Arial"/>
          <w:sz w:val="22"/>
          <w:szCs w:val="22"/>
        </w:rPr>
        <w:t xml:space="preserve">e č. 1 Seznam </w:t>
      </w:r>
      <w:proofErr w:type="spellStart"/>
      <w:r w:rsidR="0076124F">
        <w:rPr>
          <w:rFonts w:ascii="Arial" w:hAnsi="Arial" w:cs="Arial"/>
          <w:sz w:val="22"/>
          <w:szCs w:val="22"/>
        </w:rPr>
        <w:t>vytyčovovaných</w:t>
      </w:r>
      <w:proofErr w:type="spellEnd"/>
      <w:r w:rsidR="0076124F">
        <w:rPr>
          <w:rFonts w:ascii="Arial" w:hAnsi="Arial" w:cs="Arial"/>
          <w:sz w:val="22"/>
          <w:szCs w:val="22"/>
        </w:rPr>
        <w:t xml:space="preserve"> pozemků s uvedením katastrálního území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326B59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76124F">
        <w:rPr>
          <w:rFonts w:ascii="Arial" w:hAnsi="Arial" w:cs="Arial"/>
          <w:sz w:val="22"/>
          <w:szCs w:val="22"/>
        </w:rPr>
        <w:t>5</w:t>
      </w:r>
      <w:r w:rsidR="0076124F" w:rsidRPr="00014665">
        <w:rPr>
          <w:rFonts w:ascii="Arial" w:hAnsi="Arial" w:cs="Arial"/>
          <w:sz w:val="22"/>
          <w:szCs w:val="22"/>
        </w:rPr>
        <w:t xml:space="preserve">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3FA5C068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76124F">
        <w:rPr>
          <w:rFonts w:ascii="Arial" w:hAnsi="Arial" w:cs="Arial"/>
          <w:sz w:val="22"/>
          <w:szCs w:val="22"/>
        </w:rPr>
        <w:t>Pardubický</w:t>
      </w:r>
      <w:r w:rsidR="0076124F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76124F">
        <w:rPr>
          <w:rFonts w:ascii="Arial" w:hAnsi="Arial" w:cs="Arial"/>
          <w:sz w:val="22"/>
          <w:szCs w:val="22"/>
        </w:rPr>
        <w:t>Ústí nad Orlicí</w:t>
      </w:r>
      <w:r w:rsidR="0076124F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76124F">
        <w:rPr>
          <w:rFonts w:ascii="Arial" w:hAnsi="Arial" w:cs="Arial"/>
          <w:sz w:val="22"/>
          <w:szCs w:val="22"/>
        </w:rPr>
        <w:t>1</w:t>
      </w:r>
      <w:r w:rsidR="0076124F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952F52">
        <w:rPr>
          <w:rFonts w:ascii="Arial" w:hAnsi="Arial" w:cs="Arial"/>
          <w:sz w:val="22"/>
          <w:szCs w:val="22"/>
        </w:rPr>
        <w:t>/</w:t>
      </w:r>
      <w:proofErr w:type="spellStart"/>
      <w:r w:rsidR="00952F52">
        <w:rPr>
          <w:rFonts w:ascii="Arial" w:hAnsi="Arial" w:cs="Arial"/>
          <w:sz w:val="22"/>
          <w:szCs w:val="22"/>
        </w:rPr>
        <w:t>dxf</w:t>
      </w:r>
      <w:proofErr w:type="spellEnd"/>
      <w:r w:rsidR="00952F52">
        <w:rPr>
          <w:rFonts w:ascii="Arial" w:hAnsi="Arial" w:cs="Arial"/>
          <w:sz w:val="22"/>
          <w:szCs w:val="22"/>
        </w:rPr>
        <w:t>.</w:t>
      </w:r>
      <w:r w:rsidR="00527B62" w:rsidRPr="00014665">
        <w:rPr>
          <w:rFonts w:ascii="Arial" w:hAnsi="Arial" w:cs="Arial"/>
          <w:sz w:val="22"/>
          <w:szCs w:val="22"/>
        </w:rPr>
        <w:t xml:space="preserve">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3813665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952F52">
        <w:rPr>
          <w:rFonts w:ascii="Arial" w:hAnsi="Arial" w:cs="Arial"/>
          <w:sz w:val="22"/>
          <w:szCs w:val="22"/>
        </w:rPr>
        <w:t> 10.11.2024</w:t>
      </w:r>
      <w:r w:rsidR="00351863">
        <w:rPr>
          <w:rFonts w:ascii="Arial" w:hAnsi="Arial" w:cs="Arial"/>
          <w:sz w:val="22"/>
          <w:szCs w:val="22"/>
        </w:rPr>
        <w:t>.</w:t>
      </w:r>
    </w:p>
    <w:p w14:paraId="07965649" w14:textId="033C2D5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952F52">
        <w:rPr>
          <w:rFonts w:ascii="Arial" w:hAnsi="Arial" w:cs="Arial"/>
          <w:sz w:val="22"/>
          <w:szCs w:val="22"/>
        </w:rPr>
        <w:t xml:space="preserve"> Šanov u Červené Vody, Helvíkovice, </w:t>
      </w:r>
      <w:proofErr w:type="spellStart"/>
      <w:r w:rsidR="00952F52">
        <w:rPr>
          <w:rFonts w:ascii="Arial" w:hAnsi="Arial" w:cs="Arial"/>
          <w:sz w:val="22"/>
          <w:szCs w:val="22"/>
        </w:rPr>
        <w:t>Rzy</w:t>
      </w:r>
      <w:proofErr w:type="spellEnd"/>
      <w:r w:rsidR="00952F52">
        <w:rPr>
          <w:rFonts w:ascii="Arial" w:hAnsi="Arial" w:cs="Arial"/>
          <w:sz w:val="22"/>
          <w:szCs w:val="22"/>
        </w:rPr>
        <w:t xml:space="preserve">, Dolní </w:t>
      </w:r>
      <w:proofErr w:type="spellStart"/>
      <w:r w:rsidR="00952F52">
        <w:rPr>
          <w:rFonts w:ascii="Arial" w:hAnsi="Arial" w:cs="Arial"/>
          <w:sz w:val="22"/>
          <w:szCs w:val="22"/>
        </w:rPr>
        <w:t>Boříkovice</w:t>
      </w:r>
      <w:proofErr w:type="spellEnd"/>
      <w:r w:rsidR="00952F52">
        <w:rPr>
          <w:rFonts w:ascii="Arial" w:hAnsi="Arial" w:cs="Arial"/>
          <w:sz w:val="22"/>
          <w:szCs w:val="22"/>
        </w:rPr>
        <w:t xml:space="preserve"> a Verměřovice</w:t>
      </w:r>
      <w:r w:rsidR="00952F52" w:rsidRPr="00014665">
        <w:rPr>
          <w:rFonts w:ascii="Arial" w:hAnsi="Arial" w:cs="Arial"/>
          <w:sz w:val="22"/>
          <w:szCs w:val="22"/>
        </w:rPr>
        <w:t xml:space="preserve">, </w:t>
      </w:r>
      <w:r w:rsidR="00D6451F" w:rsidRPr="00014665">
        <w:rPr>
          <w:rFonts w:ascii="Arial" w:hAnsi="Arial" w:cs="Arial"/>
          <w:sz w:val="22"/>
          <w:szCs w:val="22"/>
        </w:rPr>
        <w:t>okres:</w:t>
      </w:r>
      <w:r w:rsidR="00952F52">
        <w:rPr>
          <w:rFonts w:ascii="Arial" w:hAnsi="Arial" w:cs="Arial"/>
          <w:sz w:val="22"/>
          <w:szCs w:val="22"/>
        </w:rPr>
        <w:t xml:space="preserve"> Ústí nad Orlicí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952F52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45CAE106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</w:t>
      </w:r>
      <w:r w:rsidR="00952F52">
        <w:rPr>
          <w:rFonts w:ascii="Arial" w:hAnsi="Arial" w:cs="Arial"/>
          <w:sz w:val="22"/>
          <w:szCs w:val="22"/>
        </w:rPr>
        <w:t> </w:t>
      </w:r>
      <w:r w:rsidR="00145065" w:rsidRPr="00014665">
        <w:rPr>
          <w:rFonts w:ascii="Arial" w:hAnsi="Arial" w:cs="Arial"/>
          <w:sz w:val="22"/>
          <w:szCs w:val="22"/>
        </w:rPr>
        <w:t>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52F52">
        <w:rPr>
          <w:rFonts w:ascii="Arial" w:hAnsi="Arial" w:cs="Arial"/>
          <w:sz w:val="22"/>
          <w:szCs w:val="22"/>
        </w:rPr>
        <w:t>Státní pozemkový úřad, Pobočka Ústí nad Orlicí, Tvardkova 1191, 561 02 Ústí nad Orlicí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562122E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CB56749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2F04A95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52F52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281411B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952F52">
        <w:rPr>
          <w:rFonts w:ascii="Arial" w:hAnsi="Arial" w:cs="Arial"/>
          <w:b/>
          <w:bCs/>
          <w:sz w:val="22"/>
          <w:szCs w:val="22"/>
        </w:rPr>
        <w:br/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952F52">
        <w:rPr>
          <w:rFonts w:ascii="Arial" w:hAnsi="Arial" w:cs="Arial"/>
          <w:b/>
          <w:bCs/>
          <w:sz w:val="22"/>
          <w:szCs w:val="22"/>
        </w:rPr>
        <w:t>38</w:t>
      </w:r>
      <w:r w:rsidR="00952F52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FA8515C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952F52">
        <w:rPr>
          <w:rFonts w:ascii="Arial" w:hAnsi="Arial" w:cs="Arial"/>
          <w:b/>
          <w:snapToGrid w:val="0"/>
          <w:sz w:val="22"/>
          <w:szCs w:val="22"/>
        </w:rPr>
        <w:t xml:space="preserve">Pardubický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952F52">
        <w:rPr>
          <w:rFonts w:ascii="Arial" w:hAnsi="Arial" w:cs="Arial"/>
          <w:b/>
          <w:snapToGrid w:val="0"/>
          <w:sz w:val="22"/>
          <w:szCs w:val="22"/>
        </w:rPr>
        <w:t>Ústí nad Orlicí</w:t>
      </w:r>
      <w:r w:rsidR="00952F52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952F52">
        <w:rPr>
          <w:rFonts w:ascii="Arial" w:hAnsi="Arial" w:cs="Arial"/>
          <w:snapToGrid w:val="0"/>
          <w:sz w:val="22"/>
          <w:szCs w:val="22"/>
        </w:rPr>
        <w:t xml:space="preserve"> </w:t>
      </w:r>
      <w:r w:rsidR="00952F52">
        <w:rPr>
          <w:rFonts w:ascii="Arial" w:hAnsi="Arial" w:cs="Arial"/>
          <w:b/>
          <w:bCs/>
          <w:snapToGrid w:val="0"/>
          <w:sz w:val="22"/>
          <w:szCs w:val="22"/>
        </w:rPr>
        <w:t xml:space="preserve">Tvardkova 1191, 562 01 Ústí nad Orlicí.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297644C8" w:rsidR="00351863" w:rsidRDefault="00351863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lastRenderedPageBreak/>
        <w:br w:type="page"/>
      </w:r>
    </w:p>
    <w:p w14:paraId="3939730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952F52" w:rsidRDefault="005343E4" w:rsidP="00952F52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952F52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952F52">
        <w:rPr>
          <w:rFonts w:ascii="Arial" w:hAnsi="Arial" w:cs="Arial"/>
          <w:snapToGrid w:val="0"/>
          <w:sz w:val="22"/>
          <w:szCs w:val="22"/>
        </w:rPr>
        <w:t>S</w:t>
      </w:r>
      <w:r w:rsidRPr="00952F52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3F3D4B69" w14:textId="77777777" w:rsidR="00952F52" w:rsidRPr="00351863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  <w:r w:rsidR="00952F52">
        <w:rPr>
          <w:rFonts w:ascii="Arial" w:hAnsi="Arial" w:cs="Arial"/>
          <w:sz w:val="22"/>
          <w:szCs w:val="22"/>
        </w:rPr>
        <w:t>:</w:t>
      </w:r>
    </w:p>
    <w:p w14:paraId="40771960" w14:textId="4A8B0FC7" w:rsidR="00B817EB" w:rsidRDefault="004A5B21" w:rsidP="00952F5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</w:t>
      </w:r>
      <w:r w:rsidR="00B817EB"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B817EB"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proofErr w:type="gramStart"/>
      <w:r w:rsidR="00B817EB"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 </w:t>
      </w:r>
      <w:r w:rsidR="00B817EB" w:rsidRPr="00014665">
        <w:rPr>
          <w:rFonts w:ascii="Arial" w:hAnsi="Arial" w:cs="Arial"/>
          <w:sz w:val="22"/>
          <w:szCs w:val="22"/>
        </w:rPr>
        <w:t>okrese</w:t>
      </w:r>
      <w:proofErr w:type="gramEnd"/>
      <w:r w:rsidR="00952F52">
        <w:rPr>
          <w:rFonts w:ascii="Arial" w:hAnsi="Arial" w:cs="Arial"/>
          <w:sz w:val="22"/>
          <w:szCs w:val="22"/>
        </w:rPr>
        <w:t xml:space="preserve"> Ústí nad Orlicí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351863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39CA01AE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952F52">
        <w:rPr>
          <w:rFonts w:ascii="Arial" w:hAnsi="Arial" w:cs="Arial"/>
          <w:sz w:val="22"/>
          <w:szCs w:val="22"/>
        </w:rPr>
        <w:t>Ústí nad Orlicí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351863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351863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6134D13D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952F52">
        <w:rPr>
          <w:rFonts w:ascii="Arial" w:hAnsi="Arial" w:cs="Arial"/>
          <w:sz w:val="22"/>
          <w:szCs w:val="22"/>
        </w:rPr>
        <w:t xml:space="preserve">Ing. </w:t>
      </w:r>
      <w:proofErr w:type="spellStart"/>
      <w:r w:rsidR="00952F52">
        <w:rPr>
          <w:rFonts w:ascii="Arial" w:hAnsi="Arial" w:cs="Arial"/>
          <w:sz w:val="22"/>
          <w:szCs w:val="22"/>
        </w:rPr>
        <w:t>Reanta</w:t>
      </w:r>
      <w:proofErr w:type="spellEnd"/>
      <w:r w:rsidR="00952F52">
        <w:rPr>
          <w:rFonts w:ascii="Arial" w:hAnsi="Arial" w:cs="Arial"/>
          <w:sz w:val="22"/>
          <w:szCs w:val="22"/>
        </w:rPr>
        <w:t xml:space="preserve"> Čadová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351863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2B2679E1" w14:textId="2B428381" w:rsidR="008B50BB" w:rsidRDefault="00BB303E" w:rsidP="00952F52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952F52">
        <w:rPr>
          <w:rFonts w:ascii="Arial" w:hAnsi="Arial" w:cs="Arial"/>
          <w:sz w:val="22"/>
          <w:szCs w:val="22"/>
        </w:rPr>
        <w:t>vedoucí Pobočky Ústí nad Orlicí</w:t>
      </w:r>
      <w:r w:rsidR="00952F52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351863">
        <w:rPr>
          <w:rFonts w:ascii="Arial" w:hAnsi="Arial" w:cs="Arial"/>
          <w:sz w:val="22"/>
          <w:szCs w:val="22"/>
          <w:highlight w:val="yellow"/>
        </w:rPr>
        <w:t>…………</w:t>
      </w:r>
      <w:bookmarkEnd w:id="1"/>
    </w:p>
    <w:p w14:paraId="44941D79" w14:textId="1468DC78" w:rsidR="00952F52" w:rsidRPr="00014665" w:rsidRDefault="00952F52" w:rsidP="00351863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Státní pozemkový úřad</w:t>
      </w:r>
    </w:p>
    <w:sectPr w:rsidR="00952F52" w:rsidRPr="00014665" w:rsidSect="00A10967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8209C37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7476C7">
      <w:rPr>
        <w:rFonts w:ascii="Arial" w:hAnsi="Arial" w:cs="Arial"/>
        <w:sz w:val="16"/>
        <w:szCs w:val="16"/>
      </w:rPr>
      <w:t>po pozemkových úpravách v okrese Ústí nad Orlicí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5091678F" w:rsidR="00FF0C21" w:rsidRDefault="00FF0C21" w:rsidP="007476C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7476C7">
      <w:rPr>
        <w:rFonts w:ascii="Arial" w:hAnsi="Arial" w:cs="Arial"/>
        <w:sz w:val="16"/>
        <w:szCs w:val="16"/>
      </w:rPr>
      <w:t>(</w:t>
    </w:r>
    <w:r w:rsidR="007476C7" w:rsidRPr="007476C7">
      <w:rPr>
        <w:rFonts w:ascii="Arial" w:hAnsi="Arial" w:cs="Arial"/>
        <w:sz w:val="16"/>
        <w:szCs w:val="16"/>
        <w:highlight w:val="yellow"/>
      </w:rPr>
      <w:t xml:space="preserve">bude doplněno před podpisem </w:t>
    </w:r>
    <w:proofErr w:type="spellStart"/>
    <w:r w:rsidR="007476C7" w:rsidRPr="007476C7">
      <w:rPr>
        <w:rFonts w:ascii="Arial" w:hAnsi="Arial" w:cs="Arial"/>
        <w:sz w:val="16"/>
        <w:szCs w:val="16"/>
        <w:highlight w:val="yellow"/>
      </w:rPr>
      <w:t>SoD</w:t>
    </w:r>
    <w:proofErr w:type="spellEnd"/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1CAA0A6" w14:textId="0C6E915B" w:rsidR="00EB38E7" w:rsidRPr="00FF7DBF" w:rsidRDefault="00EB38E7" w:rsidP="007476C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 xml:space="preserve">IUD smlouvy objednatele: </w:t>
    </w:r>
    <w:r>
      <w:rPr>
        <w:rFonts w:ascii="Arial" w:hAnsi="Arial" w:cs="Arial"/>
        <w:sz w:val="16"/>
        <w:szCs w:val="16"/>
      </w:rPr>
      <w:t>(</w:t>
    </w:r>
    <w:r w:rsidRPr="007476C7">
      <w:rPr>
        <w:rFonts w:ascii="Arial" w:hAnsi="Arial" w:cs="Arial"/>
        <w:sz w:val="16"/>
        <w:szCs w:val="16"/>
        <w:highlight w:val="yellow"/>
      </w:rPr>
      <w:t xml:space="preserve">bude doplněno před podpisem </w:t>
    </w:r>
    <w:proofErr w:type="spellStart"/>
    <w:r w:rsidRPr="007476C7">
      <w:rPr>
        <w:rFonts w:ascii="Arial" w:hAnsi="Arial" w:cs="Arial"/>
        <w:sz w:val="16"/>
        <w:szCs w:val="16"/>
        <w:highlight w:val="yellow"/>
      </w:rPr>
      <w:t>SoD</w:t>
    </w:r>
    <w:proofErr w:type="spellEnd"/>
    <w:r w:rsidRPr="00FF7DBF">
      <w:rPr>
        <w:rFonts w:ascii="Arial" w:hAnsi="Arial" w:cs="Arial"/>
        <w:sz w:val="16"/>
        <w:szCs w:val="16"/>
      </w:rPr>
      <w:t>)</w:t>
    </w:r>
  </w:p>
  <w:p w14:paraId="12A62E41" w14:textId="71DBFE61" w:rsidR="00FF0C21" w:rsidRPr="00FF7DBF" w:rsidRDefault="00FF0C21" w:rsidP="007476C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="007476C7">
      <w:rPr>
        <w:rFonts w:ascii="Arial" w:hAnsi="Arial" w:cs="Arial"/>
        <w:sz w:val="16"/>
        <w:szCs w:val="16"/>
      </w:rPr>
      <w:t xml:space="preserve"> (</w:t>
    </w:r>
    <w:r w:rsidR="007476C7" w:rsidRPr="007476C7">
      <w:rPr>
        <w:rFonts w:ascii="Arial" w:hAnsi="Arial" w:cs="Arial"/>
        <w:sz w:val="16"/>
        <w:szCs w:val="16"/>
        <w:highlight w:val="yellow"/>
      </w:rPr>
      <w:t xml:space="preserve">bude doplněno před podpisem </w:t>
    </w:r>
    <w:proofErr w:type="spellStart"/>
    <w:r w:rsidR="007476C7" w:rsidRPr="007476C7">
      <w:rPr>
        <w:rFonts w:ascii="Arial" w:hAnsi="Arial" w:cs="Arial"/>
        <w:sz w:val="16"/>
        <w:szCs w:val="16"/>
        <w:highlight w:val="yellow"/>
      </w:rPr>
      <w:t>SoD</w:t>
    </w:r>
    <w:proofErr w:type="spellEnd"/>
    <w:r w:rsidR="007476C7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0C492D63" w14:textId="5A58FA7F" w:rsidR="00FF0C21" w:rsidRPr="00DC4D21" w:rsidRDefault="00FF0C21" w:rsidP="007476C7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7476C7">
      <w:rPr>
        <w:rFonts w:ascii="Arial" w:hAnsi="Arial" w:cs="Arial"/>
        <w:sz w:val="16"/>
        <w:szCs w:val="16"/>
      </w:rPr>
      <w:t>po pozemkový úpravách v okrese Ústí nad Orlicí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32B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1863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6C7"/>
    <w:rsid w:val="00747E60"/>
    <w:rsid w:val="00754188"/>
    <w:rsid w:val="00756A51"/>
    <w:rsid w:val="0076124F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07A74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2F52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08E2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8E7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476C7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76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ustino.pk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r.filipova@spuc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4780</Words>
  <Characters>28202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Hejlová Veronika Bc. DiS.</cp:lastModifiedBy>
  <cp:revision>11</cp:revision>
  <cp:lastPrinted>2019-05-02T06:41:00Z</cp:lastPrinted>
  <dcterms:created xsi:type="dcterms:W3CDTF">2023-06-13T11:03:00Z</dcterms:created>
  <dcterms:modified xsi:type="dcterms:W3CDTF">2024-07-31T06:14:00Z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